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36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rtl w:val="0"/>
        </w:rPr>
        <w:t xml:space="preserve">                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4"/>
          <w:szCs w:val="24"/>
          <w:rtl w:val="0"/>
        </w:rPr>
        <w:t xml:space="preserve">                 STATUT FUNDACJI KOBIET „DOBRAWA”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360" w:lineRule="auto"/>
        <w:jc w:val="both"/>
        <w:rPr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§1. Postanowienia ogólne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pod nazwą Fundacja Kobiet „Dobrawa”, zwana dalej „Fundacją”,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została ustanowiona przez: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Elżbietę Piorun-Hannah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Ksenię Tymińską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Annę Kozindę</w:t>
      </w:r>
    </w:p>
    <w:p w:rsidR="00000000" w:rsidDel="00000000" w:rsidP="00000000" w:rsidRDefault="00000000" w:rsidRPr="00000000" w14:paraId="0000000A">
      <w:pPr>
        <w:spacing w:after="0" w:before="0" w:line="360" w:lineRule="auto"/>
        <w:ind w:left="36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aktem notarialnym sporządzonym w dniu 7 grudnia 2016 roku przez notariusza Patrycję Tomalę w kancelarii notarialnej w Warszawie przy ul. Postępu 13.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pod nazwą Fundacja Kobiet „Dobrawa” działa na podstawie: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ustawy o fundacjach,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ustawy o działalności pożytku publicznego i o wolontariacie,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niniejszego statutu.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posiada osobowość prawną.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Siedzibą Fundacji jest Konstancin-Jeziorna.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Terenem działania Fundacji jest Rzeczpospolita Polska oraz zagranica.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może tworzyć oddziały, przedstawicielstwa oraz inne jednostki organizacyjne.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Czas trwania Fundacji jest nieoznaczony.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działa z poszanowaniem zasad równości, dostępności oraz włączania społecznego.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Ministrem właściwym ze względu na cele Fundacji jest minister Rodziny, Pracy i Polityki Społecznej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360" w:lineRule="auto"/>
        <w:jc w:val="both"/>
        <w:rPr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§2. Cele Fundacji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prowadzi działalność w sferze zadań publicznych określonych w ustawie o działalności pożytku publicznego i o wolontariacie, w zakresie wskazanym w art. 4 tej ustawy.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realizuje cele w zakresie działalności, o której mowa w art. 17 ust. 1 pkt 4 ustawy o podatku dochodowym od osób prawnych, w szczególności w obszarze działalności społecznej, edukacyjnej, kulturalnej, sportowej, ochrony zdrowia, pomocy społecznej oraz wspierania osób z niepełnosprawnościami.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Cele Fundacji obejmują, w szczególności: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Przeciwdziałanie wykluczeniu społecznemu, w szczególności osób z niepełnosprawnościami i ich rodzin.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Działalność w zakresie przeciwdziałania uzależnieniom i patologiom społecznym.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Działalność edukacyjna, społeczna i wychowawcza na rzecz dzieci, młodzieży oraz ich opiekunów.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Promowanie zdrowego stylu życia oraz aktywności fizycznej.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Wspieranie rozwoju osobistego i społecznego.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Wspieranie opiekunów oraz seniorów.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Wspieranie osób znajdujących w trudnej sytuacji życiowej.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Wspieranie integracji społecznej i zawodowej.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Rozwój społeczeństwa obywatelskiego.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Wspieranie edukacji, nauki, kultury i sportu.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Wspieranie dialogu społecznego i integracji międzypokoleniowej.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l</w:t>
      </w: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Wspieranie rozwoju kompetencji społecznych i emocjonalnych dzieci, młodzieży i dorosłych,  w tym poprzez działania edukacyjne, profilaktyczne i integracyjne.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  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m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. Prowadzenie usług psychologicznych i psychoterapeutycznych w formie praktyki prywatnej.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0" w:line="360" w:lineRule="auto"/>
        <w:jc w:val="both"/>
        <w:rPr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§3. Sposoby realizacji celów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Fundacja realizuje swoje cele poprzez: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Organizowanie wykładów, konferencji, szkoleń, warsztatów i wydarzeń edukacyjnych.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Publikowanie materiałów informacyjnych i edukacyjnych w internecie oraz mediach społecznościowych.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Organizowanie wydarzeń sportowych, rekreacyjnych i inicjatyw promujących zdrowy styl życia.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Realizowanie programów przeciwdziałających wykluczeniu społecznemu.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Współpracę z organizacjami pozarządowymi, instytucjami publicznymi i osobami prywatnymi.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Organizowanie programów edukacyjnych i warsztatów dla dzieci i młodzieży.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Realizację projektów społecznych, edukacyjnych i kulturalnych.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Rozwijanie współpracy krajowej i międzynarodowej.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Występowanie do organów administracji publicznej w sprawach związanych z celami Fundacji.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Udzielanie wsparcia psychologicznego, terapeutycznego, doradczego i interwencyjnego osobom i rodzinom w trudnej sytuacji życiowej, w tym doświadczającym przemocy lub uzależnień.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Prowadzenie działań profilaktycznych oraz programów przeciwdziałania przemocy domowej i uzależnieniom.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Organizowanie i prowadzenie treningów umiejętności społecznych, zajęć psychoedukacyjnych oraz warsztatów rozwoju osobistego,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Wspieranie rodzin, w tym rozwijanie kompetencji wychowawczych oraz wzmacnianie funkcjonowania społecznego dzieci i młodzieży.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Prowadzenie działań informacyjnych i edukacyjnych zwiększających świadomość społeczną w zakresie przemocy, uzależnień i dostępnych form pomocy.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§4. Działalność edukacyjna i szkoleniowa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może prowadzić szkolenia, kursy, warsztaty i programy edukacyjne.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Działalność może być prowadzona w formie stacjonarnej, zdalnej lub hybrydowej.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może prowadzić kursy online, webinary i programy mentoringowe.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może tworzyć i prowadzić platformy szkoleniowe oraz portale edukacyjne.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może opracowywać materiały szkoleniowe i publikacje edukacyjne.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może wydawać zaświadczenia i certyfikaty potwierdzające ukończenie szkoleń.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może prowadzić działania psychoedukacyjne, rozwojowe oraz wspierające kompetencje społeczne i emocjonalne uczestników.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może realizować programy edukacyjne i wspierające skierowane do dzieci, młodzieży, rodzin oraz osób w trudnej sytuacji życiowej, w tym obejmujące elementy profilaktyki, integracji społecznej i wsparcia psychospołecznego.</w:t>
      </w:r>
    </w:p>
    <w:p w:rsidR="00000000" w:rsidDel="00000000" w:rsidP="00000000" w:rsidRDefault="00000000" w:rsidRPr="00000000" w14:paraId="00000043">
      <w:pPr>
        <w:spacing w:after="0" w:before="0"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="360" w:lineRule="auto"/>
        <w:jc w:val="both"/>
        <w:rPr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§5. Działalność pożytku publicznego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prowadzi działalność nieodpłatną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odpłatną pożytku publicznego.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Dochód z działalności odpłatnej przeznacza się na realizację celów statutowych.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="360" w:lineRule="auto"/>
        <w:jc w:val="both"/>
        <w:rPr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§6. Działalność gospodarcza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może prowadzić działalność gospodarczą wspierającą realizację celów statutowych.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Dochód z działalności gospodarczej przeznaczony jest w całości na działalność statutową.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Działalność</w:t>
      </w: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gospodarcza jest wyodrębniona organizacyjnie i finansowo.</w:t>
      </w:r>
    </w:p>
    <w:p w:rsidR="00000000" w:rsidDel="00000000" w:rsidP="00000000" w:rsidRDefault="00000000" w:rsidRPr="00000000" w14:paraId="0000004C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Zakres działalności: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85.59.B – Pozostałe pozaszkolne formy edukacji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85.60.Z – Działalność wspomagająca edukację</w:t>
      </w:r>
    </w:p>
    <w:p w:rsidR="00000000" w:rsidDel="00000000" w:rsidP="00000000" w:rsidRDefault="00000000" w:rsidRPr="00000000" w14:paraId="0000004F">
      <w:pPr>
        <w:spacing w:after="0" w:before="0"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86.90.E - </w:t>
      </w:r>
      <w:r w:rsidDel="00000000" w:rsidR="00000000" w:rsidRPr="00000000">
        <w:rPr>
          <w:rFonts w:ascii="Tahoma" w:cs="Tahoma" w:eastAsia="Tahoma" w:hAnsi="Tahoma"/>
          <w:color w:val="040c28"/>
          <w:sz w:val="20"/>
          <w:szCs w:val="20"/>
          <w:highlight w:val="white"/>
          <w:rtl w:val="0"/>
        </w:rPr>
        <w:t xml:space="preserve">Pozostała działalność w zakresie opieki zdrowotnej, gdzie indziej niesklasyfikowana</w:t>
      </w:r>
      <w:r w:rsidDel="00000000" w:rsidR="00000000" w:rsidRPr="00000000">
        <w:rPr>
          <w:rFonts w:ascii="Google Sans" w:cs="Google Sans" w:eastAsia="Google Sans" w:hAnsi="Google Sans"/>
          <w:color w:val="474747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="360" w:lineRule="auto"/>
        <w:jc w:val="both"/>
        <w:rPr>
          <w:rFonts w:ascii="Tahoma" w:cs="Tahoma" w:eastAsia="Tahoma" w:hAnsi="Tahoma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color w:val="0a0a0a"/>
          <w:sz w:val="20"/>
          <w:szCs w:val="20"/>
          <w:shd w:fill="auto" w:val="clear"/>
          <w:rtl w:val="0"/>
        </w:rPr>
        <w:t xml:space="preserve">47. 91. Z</w:t>
      </w:r>
      <w:r w:rsidDel="00000000" w:rsidR="00000000" w:rsidRPr="00000000">
        <w:rPr>
          <w:rFonts w:ascii="Tahoma" w:cs="Tahoma" w:eastAsia="Tahoma" w:hAnsi="Tahoma"/>
          <w:smallCaps w:val="0"/>
          <w:color w:val="0a0a0a"/>
          <w:sz w:val="20"/>
          <w:szCs w:val="20"/>
          <w:shd w:fill="auto" w:val="clear"/>
          <w:rtl w:val="0"/>
        </w:rPr>
        <w:t xml:space="preserve"> – </w:t>
      </w:r>
      <w:r w:rsidDel="00000000" w:rsidR="00000000" w:rsidRPr="00000000">
        <w:rPr>
          <w:rFonts w:ascii="Google Sans" w:cs="Google Sans" w:eastAsia="Google Sans" w:hAnsi="Google Sans"/>
          <w:b w:val="0"/>
          <w:bCs w:val="0"/>
          <w:i w:val="0"/>
          <w:iCs w:val="0"/>
          <w:smallCaps w:val="0"/>
          <w:color w:val="0a0a0a"/>
          <w:sz w:val="20"/>
          <w:szCs w:val="20"/>
          <w:shd w:fill="auto" w:val="clear"/>
          <w:rtl w:val="0"/>
        </w:rPr>
        <w:t xml:space="preserve">Sprzedaż detaliczna prowadzona przez domy sprzedaży wysyłkowej lub Internet </w:t>
      </w: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82.30.Z – Organizacja targów, wystaw i kongresów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58.11.Z – Wydawanie książek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58.19.Z – Pozostała działalność wydawnicza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§7. Majątek Fundacji</w:t>
      </w:r>
    </w:p>
    <w:p w:rsidR="00000000" w:rsidDel="00000000" w:rsidP="00000000" w:rsidRDefault="00000000" w:rsidRPr="00000000" w14:paraId="00000057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Majątek Fundacji stanowi jej fundusz założycielski w kwocie 3.000 (trzy tysiąca) złotych oraz inne mienie nabyte przez Fundację w toku działania, z czego 1.000 (tysiąc) złotych 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przeznaczone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zostanie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na działalność gospodarczą.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sz w:val="20"/>
          <w:szCs w:val="20"/>
          <w:u w:val="no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Dochody Fundacji mogą pochodzić z darowizn, dotacji, grantów, zbiórek publicznych i d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ziałalności odpłatnej pożytku publicznego, działalności gospodarczej, środków UE oraz innych środków publicznych i zagranicznych.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B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§8. Organy Fundacji</w:t>
      </w:r>
    </w:p>
    <w:p w:rsidR="00000000" w:rsidDel="00000000" w:rsidP="00000000" w:rsidRDefault="00000000" w:rsidRPr="00000000" w14:paraId="0000005C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Organami Fundacji są: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Zarząd Fundacji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§9. Zarząd Fundacji</w:t>
      </w:r>
    </w:p>
    <w:p w:rsidR="00000000" w:rsidDel="00000000" w:rsidP="00000000" w:rsidRDefault="00000000" w:rsidRPr="00000000" w14:paraId="00000061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Zarząd składa się z 1 do 5 członków powoływanych i odwoływanych przez Fundatorów. W przypadku braku możliwości działania Fundatorów, kompetencje te wykonuje Zarząd.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after="160" w:before="0" w:line="278.00000000000006" w:lineRule="auto"/>
        <w:ind w:left="360" w:hanging="360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Fundatorzy mogą pełnić funkcję członka Zarządu, w tym funkcję Prezesa/ Prezeski Zarządu.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Kadencja Zarządu trwa 10 lat.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spacing w:after="160" w:before="0" w:line="278.00000000000006" w:lineRule="auto"/>
        <w:ind w:left="360" w:hanging="360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W przypadku Zarządu wieloosobowego, Zarząd wybiera ze swego grona Prezesa lub Prezeskę, a jeżeli jest to możliwe – Wiceprezesa lub Wiceprezeskę.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spacing w:after="0" w:before="0" w:line="360" w:lineRule="auto"/>
        <w:ind w:left="360" w:hanging="360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Członkowie Zarządu mogą otrzymywać wynagrodzenie.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spacing w:after="0" w:before="0" w:line="360" w:lineRule="auto"/>
        <w:ind w:left="360" w:hanging="360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Wynagrodzenie członków Zarządu oraz zasady zwrotu kosztów ustala pełnomocnik powołany uchwałą Zarządu.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after="0" w:before="0" w:line="360" w:lineRule="auto"/>
        <w:ind w:left="360" w:hanging="360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Członek Zarządu, którego dotyczy uchwała w sprawie wynagrodzenia, nie bierze udziału w jej podejmowaniu.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spacing w:after="0" w:before="0" w:line="360" w:lineRule="auto"/>
        <w:ind w:left="360" w:hanging="360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Pełnomocnik nie może być członkiem Zarządu.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spacing w:after="0" w:before="0" w:line="360" w:lineRule="auto"/>
        <w:ind w:left="360" w:hanging="360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Członkostwo w Zarządzie ustaje w przypadku: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4"/>
        </w:numPr>
        <w:spacing w:after="160" w:before="0" w:line="278.00000000000006" w:lineRule="auto"/>
        <w:ind w:left="720" w:hanging="360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złożenia pisemnej rezygnacji,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4"/>
        </w:numPr>
        <w:spacing w:after="160" w:before="0" w:line="278.00000000000006" w:lineRule="auto"/>
        <w:ind w:left="720" w:hanging="360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śmierci,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4"/>
        </w:numPr>
        <w:spacing w:after="160" w:before="0" w:line="278.00000000000006" w:lineRule="auto"/>
        <w:ind w:left="720" w:hanging="360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prawomocnego skazania za przestępstwo umyślne ścigane z oskarżenia publicznego lub przestępstwo skarbowe,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4"/>
        </w:numPr>
        <w:spacing w:after="160" w:before="0" w:line="278.00000000000006" w:lineRule="auto"/>
        <w:ind w:left="720" w:hanging="360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utraty praw publicznych.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Zarząd kieruje działalnością Fundacji.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before="0" w:line="360" w:lineRule="auto"/>
        <w:jc w:val="both"/>
        <w:rPr>
          <w:rFonts w:ascii="Tahoma" w:cs="Tahoma" w:eastAsia="Tahoma" w:hAnsi="Tahoma"/>
          <w:sz w:val="20"/>
          <w:szCs w:val="20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  <w:shd w:fill="auto" w:val="clear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shd w:fill="auto" w:val="clear"/>
          <w:rtl w:val="0"/>
        </w:rPr>
        <w:t xml:space="preserve">§10. Kompetencje Zarządu</w:t>
      </w:r>
    </w:p>
    <w:p w:rsidR="00000000" w:rsidDel="00000000" w:rsidP="00000000" w:rsidRDefault="00000000" w:rsidRPr="00000000" w14:paraId="00000074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5"/>
        </w:numPr>
        <w:spacing w:after="160" w:before="0" w:line="278.00000000000006" w:lineRule="auto"/>
        <w:ind w:left="360" w:hanging="360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Do Zarządu Fundacji należy kierowanie Fundacją, prowadzenie jej spraw oraz reprezentowanie jej na zewnątrz.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5"/>
        </w:numPr>
        <w:spacing w:after="160" w:before="0" w:line="278.00000000000006" w:lineRule="auto"/>
        <w:ind w:left="360" w:hanging="360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Zarząd podejmuje wszelkie decyzje dotyczące działalności Fundacji, z wyjątkiem spraw zastrzeżonych w statucie lub przepisach prawa.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5"/>
        </w:numPr>
        <w:spacing w:after="160" w:before="0" w:line="278.00000000000006" w:lineRule="auto"/>
        <w:ind w:left="360" w:hanging="360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Do kompetencji Zarządu należy w szczególności: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kierowanie bieżącą działalnością Fundacji oraz realizacja jej celów statutowych,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uchwalanie planów działania i planów finansowych,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zarządzanie majątkiem i finansami Fundacji oraz pozyskiwanie środków,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przyjmowanie darowizn, spadków, zapisów, dotacji i innych środków,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podejmowanie decyzji organizacyjnych i kadrowych, w tym zatrudnianie pracowników,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tworzenie i likwidowanie jednostek organizacyjnych,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sporządzanie oraz zatwierdzanie sprawozdania finansowego i merytorycznego Fundacji,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zapewnienie zgodności działalności Fundacji z przepisami prawa,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podejmowanie uchwał w sprawie zmiany Statutu oraz innych spraw strategicznych.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before="0" w:line="360" w:lineRule="auto"/>
        <w:ind w:left="360" w:firstLine="0"/>
        <w:jc w:val="both"/>
        <w:rPr>
          <w:rFonts w:ascii="Tahoma" w:cs="Tahoma" w:eastAsia="Tahoma" w:hAnsi="Tahoma"/>
          <w:sz w:val="20"/>
          <w:szCs w:val="20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  <w:shd w:fill="auto" w:val="clear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shd w:fill="auto" w:val="clear"/>
          <w:rtl w:val="0"/>
        </w:rPr>
        <w:t xml:space="preserve">§11. Reprezentacja Fundacji</w:t>
      </w:r>
    </w:p>
    <w:p w:rsidR="00000000" w:rsidDel="00000000" w:rsidP="00000000" w:rsidRDefault="00000000" w:rsidRPr="00000000" w14:paraId="00000083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 przypadku Zarządu jednoosobowego Fundację reprezentuje Prezes.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 przypadku Zarządu wieloosobowego Fundację reprezentuje Prezes samodzielnie lub dwóch członków Zarządu łącznie.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before="0" w:line="360" w:lineRule="auto"/>
        <w:jc w:val="both"/>
        <w:rPr>
          <w:rFonts w:ascii="Tahoma" w:cs="Tahoma" w:eastAsia="Tahoma" w:hAnsi="Tahoma"/>
          <w:sz w:val="20"/>
          <w:szCs w:val="20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before="0" w:line="360" w:lineRule="auto"/>
        <w:jc w:val="both"/>
        <w:rPr>
          <w:b w:val="1"/>
          <w:bCs w:val="1"/>
          <w:shd w:fill="auto" w:val="clear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shd w:fill="auto" w:val="clear"/>
          <w:rtl w:val="0"/>
        </w:rPr>
        <w:t xml:space="preserve">§12. Uchwały Zarządu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Zarząd Fundacji podejmuje decyzje w formie uchwał, zwykłą większością głosów, przy czym do ważności uchwały wymagana jest obecność co najmniej połowy liczby członków Zarządu, chyba że Statut stanowi inaczej. W przypadku równej liczby głosów decyduje głos Prezesa lub Prezeski Zarządu.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Posiedzenia Zarządu odbywają się w miarę potrzeb.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Posiedzenia Zarządu mogą odbywać się: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stacjonarnie,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zdalnie, z wykorzystaniem środków komunikacji elektronicznej (w szczególności telekonferencja, wideokonferencja),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 formie hybrydowej.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Uchwały Zarządu mogą być również podejmowane w trybie obiegowym, poprzez: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pocztę elektroniczną,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systemy elektronicznego obiegu dokumentów,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platformy komunikacji elektronicznej zaakceptowane przez Zarząd,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podpisy elektroniczne (kwalifikowany, zaufany, zaawansowany lub inny dopuszczalny przez prawo).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Uchwała podjęta w trybie obiegowym jest ważna, jeżeli wszyscy członkowie Zarządu zostali powiadomieni o jej treści i co najmniej połowa z nich oddała ważny głos.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Uchwała podjęta w trybie obiegowym jest równoznaczna z uchwałą podjętą na posiedzeniu Zarządu.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Posiedzenia Zarządu zwołuje Prezes lub Prezeska Zarządu, w sposób zwyczajowo przyjęty, w tym poprzez powiadomienie elektroniczne.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 przebiegu posiedzeń Zarządu sporządza się protokół, który podpisuje Prezes/Prezeska lub osoba przewodnicząca posiedzeniu.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 przypadku uchwał obiegowych protokół stanowi zestawienie oddanych głosów i treści uchwały wraz z potwierdzeniem elektronicznym głosowania.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§ 13 Kierownik jednostki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Kierownikiem jednostki w rozumieniu ustawy o rachunkowości jest Zarząd Fundacji.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 sprawach wymagających podpisu kierownika jednostki oświadczenia składane są zgodnie z zasadami reprezentacji Fundacji określonymi w Statucie.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before="0" w:line="360" w:lineRule="auto"/>
        <w:jc w:val="both"/>
        <w:rPr>
          <w:shd w:fill="auto" w:val="clear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shd w:fill="auto" w:val="clear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before="0" w:line="360" w:lineRule="auto"/>
        <w:jc w:val="both"/>
        <w:rPr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§14. Zmiana statutu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Zmiana statutu wymaga uchwały Zarządu podjętej większością 2/3 głosów.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before="0" w:line="360" w:lineRule="auto"/>
        <w:jc w:val="both"/>
        <w:rPr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§15. Likwidacja Fundacji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Fundacja ulega likwidacji w przypadku osiągnięcia celów lub wyczerpania majątku.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Majątek pozostały po likwidacji przeznacza się na cele zbieżne z celami Fundacji.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before="0" w:line="360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bookmarkStart w:colFirst="0" w:colLast="0" w:name="_heading=h.ipeytuur4z24" w:id="0"/>
      <w:bookmarkEnd w:id="0"/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before="0"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Courier New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lef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lef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lef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lef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lef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left"/>
      <w:pPr>
        <w:ind w:left="612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lef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lef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left"/>
      <w:pPr>
        <w:ind w:left="6120" w:hanging="180"/>
      </w:pPr>
      <w:rPr/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800" w:hanging="36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decimal"/>
      <w:lvlText w:val="%5."/>
      <w:lvlJc w:val="left"/>
      <w:pPr>
        <w:ind w:left="3240" w:hanging="360"/>
      </w:pPr>
      <w:rPr/>
    </w:lvl>
    <w:lvl w:ilvl="5">
      <w:start w:val="1"/>
      <w:numFmt w:val="decimal"/>
      <w:lvlText w:val="%6."/>
      <w:lvlJc w:val="left"/>
      <w:pPr>
        <w:ind w:left="3960" w:hanging="36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decimal"/>
      <w:lvlText w:val="%8."/>
      <w:lvlJc w:val="left"/>
      <w:pPr>
        <w:ind w:left="5400" w:hanging="360"/>
      </w:pPr>
      <w:rPr/>
    </w:lvl>
    <w:lvl w:ilvl="8">
      <w:start w:val="1"/>
      <w:numFmt w:val="decimal"/>
      <w:lvlText w:val="%9."/>
      <w:lvlJc w:val="left"/>
      <w:pPr>
        <w:ind w:left="612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lef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lef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left"/>
      <w:pPr>
        <w:ind w:left="6120" w:hanging="180"/>
      </w:pPr>
      <w:rPr/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lef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lef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left"/>
      <w:pPr>
        <w:ind w:left="612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lef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lef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left"/>
      <w:pPr>
        <w:ind w:left="612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lef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lef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left"/>
      <w:pPr>
        <w:ind w:left="6120" w:hanging="180"/>
      </w:pPr>
      <w:rPr/>
    </w:lvl>
  </w:abstractNum>
  <w:abstractNum w:abstractNumId="12"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4"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lef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lef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left"/>
      <w:pPr>
        <w:ind w:left="612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lef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lef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left"/>
      <w:pPr>
        <w:ind w:left="612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lef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lef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left"/>
      <w:pPr>
        <w:ind w:left="612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lef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lef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left"/>
      <w:pPr>
        <w:ind w:left="612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lef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lef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left"/>
      <w:pPr>
        <w:ind w:left="612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lef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lef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lef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p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before="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hPWAJcB3XacLiiBuZE1Tl3Odyg==">CgMxLjAyDmguaXBleXR1dXI0ejI0OAByITFjQmJad2JUcUdfbWJmWVNEb19FU3N6WG83MnZ1NnpYcA==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